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087F0">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510157</w:t>
      </w:r>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Bengaluru, India, August 25</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2025</w:t>
      </w:r>
    </w:p>
    <w:p w14:paraId="19C21F07">
      <w:pPr>
        <w:tabs>
          <w:tab w:val="left" w:pos="1985"/>
        </w:tabs>
        <w:rPr>
          <w:rFonts w:ascii="Times New Roman" w:hAnsi="Times New Roman"/>
          <w:b/>
          <w:sz w:val="22"/>
          <w:highlight w:val="none"/>
        </w:rPr>
      </w:pPr>
    </w:p>
    <w:p w14:paraId="0F6ADD6A">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14</w:t>
      </w:r>
      <w:r>
        <w:rPr>
          <w:rFonts w:hint="eastAsia" w:ascii="Times New Roman" w:hAnsi="Times New Roman"/>
          <w:sz w:val="22"/>
          <w:highlight w:val="none"/>
        </w:rPr>
        <w:t>.</w:t>
      </w:r>
      <w:r>
        <w:rPr>
          <w:rFonts w:hint="eastAsia" w:ascii="Times New Roman" w:hAnsi="Times New Roman"/>
          <w:sz w:val="22"/>
          <w:highlight w:val="none"/>
          <w:lang w:val="en-US" w:eastAsia="zh-CN"/>
        </w:rPr>
        <w:t>5</w:t>
      </w:r>
    </w:p>
    <w:p w14:paraId="56D784BA">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672A793B">
      <w:pPr>
        <w:ind w:left="221" w:hanging="221" w:hangingChars="100"/>
        <w:rPr>
          <w:rFonts w:hint="eastAsia" w:ascii="Times New Roman" w:hAnsi="Times New Roman"/>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performance requirements of FR2-1 SSB based L3</w:t>
      </w:r>
    </w:p>
    <w:p w14:paraId="627E5AAC">
      <w:pPr>
        <w:ind w:firstLine="1760" w:firstLineChars="800"/>
        <w:rPr>
          <w:rFonts w:hint="default" w:ascii="Times New Roman" w:hAnsi="Times New Roman" w:eastAsia="宋体"/>
          <w:sz w:val="22"/>
          <w:highlight w:val="none"/>
          <w:lang w:val="en-US" w:eastAsia="zh-CN"/>
        </w:rPr>
      </w:pPr>
      <w:r>
        <w:rPr>
          <w:rFonts w:hint="eastAsia" w:ascii="Times New Roman" w:hAnsi="Times New Roman"/>
          <w:sz w:val="22"/>
          <w:highlight w:val="none"/>
          <w:lang w:val="en-US" w:eastAsia="zh-CN"/>
        </w:rPr>
        <w:t>measurement delay reduction for connected mode</w:t>
      </w:r>
    </w:p>
    <w:bookmarkEnd w:id="4"/>
    <w:bookmarkEnd w:id="5"/>
    <w:p w14:paraId="14EC595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6D353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FEF9780">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WID on RRM enhancements was approved [1]. According to the WID, one of the objectives is FR2-1 SSB based L3 measurement delay reduction for connected mode, the details are duplicated as following.</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83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4E4CA1B1">
            <w:pPr>
              <w:keepNext w:val="0"/>
              <w:keepLines w:val="0"/>
              <w:pageBreakBefore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Objective of core part</w:t>
            </w:r>
          </w:p>
          <w:p w14:paraId="7E3750B6">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FR2-1 SSB based L3 measurement delay reduction for connected mode</w:t>
            </w:r>
          </w:p>
          <w:p w14:paraId="73B07E94">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For UE supporting multiple-Rx simultaneous reception on single carrier: </w:t>
            </w:r>
          </w:p>
          <w:p w14:paraId="4D2132B9">
            <w:pPr>
              <w:keepNext w:val="0"/>
              <w:keepLines w:val="0"/>
              <w:pageBreakBefore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Study suitable scenarios and conditions and, if feasible, introduce methods to reduce FR2-1 L3 measurement delay by optimizing:</w:t>
            </w:r>
          </w:p>
          <w:p w14:paraId="23386619">
            <w:pPr>
              <w:keepNext w:val="0"/>
              <w:keepLines w:val="0"/>
              <w:pageBreakBefore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Rx beam sweeping factor </w:t>
            </w:r>
          </w:p>
          <w:p w14:paraId="2EC9CF81">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For UE not in multiple-Rx simultaneous reception mode:</w:t>
            </w:r>
          </w:p>
          <w:p w14:paraId="71B5EFE9">
            <w:pPr>
              <w:keepNext w:val="0"/>
              <w:keepLines w:val="0"/>
              <w:pageBreakBefore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Study suitable scenarios and conditions and, if feasible, introduce methods to reduce FR2-1 L3 measurement delay by optimizing:</w:t>
            </w:r>
          </w:p>
          <w:p w14:paraId="37632BC6">
            <w:pPr>
              <w:keepNext w:val="0"/>
              <w:keepLines w:val="0"/>
              <w:pageBreakBefore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CSSF outside gap in CA/DC scenarios </w:t>
            </w:r>
          </w:p>
          <w:p w14:paraId="0F7CF37F">
            <w:pPr>
              <w:keepNext w:val="0"/>
              <w:keepLines w:val="0"/>
              <w:pageBreakBefore w:val="0"/>
              <w:numPr>
                <w:ilvl w:val="0"/>
                <w:numId w:val="7"/>
              </w:numPr>
              <w:kinsoku/>
              <w:wordWrap/>
              <w:overflowPunct/>
              <w:topLinePunct w:val="0"/>
              <w:autoSpaceDE/>
              <w:autoSpaceDN/>
              <w:bidi w:val="0"/>
              <w:adjustRightInd/>
              <w:snapToGrid/>
              <w:spacing w:after="180" w:line="240" w:lineRule="auto"/>
              <w:ind w:left="210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Baseline assumption on number of searchers is 2</w:t>
            </w:r>
          </w:p>
          <w:p w14:paraId="3B1625CA">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Objective of performance part</w:t>
            </w:r>
          </w:p>
          <w:p w14:paraId="6477FA01">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Specify RRM performance requirements and test cases for the Core part enhancements.</w:t>
            </w:r>
          </w:p>
        </w:tc>
      </w:tr>
    </w:tbl>
    <w:p w14:paraId="0102336E">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5DFDD50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There was discussion on RRM performance requirements of FR2-1 SSB based L3 measurement delay reduction for connected mode,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further discussion on this topic.</w:t>
      </w:r>
    </w:p>
    <w:p w14:paraId="33D32EDB">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9FE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711CC69">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Issue 2-1-3: whether or not to test FBS quitting</w:t>
            </w:r>
          </w:p>
          <w:p w14:paraId="30DBC1B8">
            <w:pPr>
              <w:rPr>
                <w:rFonts w:hint="default" w:ascii="Times New Roman" w:hAnsi="Times New Roman" w:cs="Times New Roman"/>
                <w:b/>
                <w:color w:val="0070C0"/>
                <w:sz w:val="20"/>
                <w:szCs w:val="20"/>
                <w:u w:val="single"/>
                <w:lang w:eastAsia="ko-KR"/>
              </w:rPr>
            </w:pPr>
          </w:p>
          <w:p w14:paraId="310B0A9B">
            <w:pPr>
              <w:snapToGrid w:val="0"/>
              <w:spacing w:after="12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Agreement on Monday: </w:t>
            </w:r>
          </w:p>
          <w:p w14:paraId="514F3035">
            <w:pPr>
              <w:snapToGrid w:val="0"/>
              <w:spacing w:after="12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rPr>
              <w:t>No need to test UE not using FBS for scenario 1~4 if the FBS condition is not met.</w:t>
            </w:r>
          </w:p>
        </w:tc>
      </w:tr>
    </w:tbl>
    <w:p w14:paraId="3FD9E323">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sz w:val="20"/>
          <w:szCs w:val="20"/>
          <w:lang w:val="en-US" w:eastAsia="zh-CN"/>
        </w:rPr>
        <w:t xml:space="preserve">It was agreed not to test UE no using </w:t>
      </w:r>
      <w:r>
        <w:rPr>
          <w:rFonts w:hint="default" w:ascii="Times New Roman" w:hAnsi="Times New Roman" w:eastAsia="宋体" w:cs="Times New Roman"/>
          <w:sz w:val="20"/>
          <w:szCs w:val="20"/>
        </w:rPr>
        <w:t>FBS for scenario 1~4 if the FBS condition is not met.</w:t>
      </w:r>
      <w:r>
        <w:rPr>
          <w:rFonts w:hint="eastAsia" w:ascii="Times New Roman" w:hAnsi="Times New Roman" w:cs="Times New Roman"/>
          <w:sz w:val="20"/>
          <w:szCs w:val="20"/>
          <w:lang w:val="en-US" w:eastAsia="zh-CN"/>
        </w:rPr>
        <w:t xml:space="preserve"> In last meeting, there was discussion about quiting FBS even if FBS condition is met. The agreements are duplicated as following.</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87E8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0DA7A8B0">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1-1-1: Conditions to trigger UE to quit “L3 measurement delay reduction by optimizing Rx BSF”</w:t>
            </w:r>
          </w:p>
          <w:p w14:paraId="608DF264">
            <w:pPr>
              <w:snapToGrid w:val="0"/>
              <w:spacing w:after="12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w:t>
            </w:r>
          </w:p>
          <w:p w14:paraId="69AFFFD6">
            <w:pPr>
              <w:snapToGrid w:val="0"/>
              <w:spacing w:after="12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For the quitting condition of FBS:</w:t>
            </w:r>
          </w:p>
          <w:p w14:paraId="33161CFC">
            <w:pPr>
              <w:pStyle w:val="10"/>
              <w:numPr>
                <w:ilvl w:val="0"/>
                <w:numId w:val="8"/>
              </w:numPr>
              <w:snapToGrid w:val="0"/>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Introduce a new UAI indicating “overheating” issue:</w:t>
            </w:r>
          </w:p>
          <w:p w14:paraId="48487676">
            <w:pPr>
              <w:pStyle w:val="10"/>
              <w:numPr>
                <w:ilvl w:val="1"/>
                <w:numId w:val="8"/>
              </w:numPr>
              <w:snapToGrid w:val="0"/>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RAN4 will not discuss the UE behaviour after reporting UAI</w:t>
            </w:r>
          </w:p>
          <w:p w14:paraId="071F3405">
            <w:pPr>
              <w:pStyle w:val="10"/>
              <w:numPr>
                <w:ilvl w:val="0"/>
                <w:numId w:val="8"/>
              </w:numPr>
              <w:snapToGrid w:val="0"/>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Introduce a timer-based solution:</w:t>
            </w:r>
          </w:p>
          <w:p w14:paraId="56067CA3">
            <w:pPr>
              <w:pStyle w:val="10"/>
              <w:numPr>
                <w:ilvl w:val="1"/>
                <w:numId w:val="8"/>
              </w:numPr>
              <w:snapToGrid w:val="0"/>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UE is allowed to fall back to normal measurement when it has performed fast measurement for at least T1 from the time point when UE enters the FBS mode after meeting the FBS entry condition</w:t>
            </w:r>
          </w:p>
          <w:p w14:paraId="4635FD87">
            <w:pPr>
              <w:pStyle w:val="10"/>
              <w:numPr>
                <w:ilvl w:val="2"/>
                <w:numId w:val="8"/>
              </w:numPr>
              <w:spacing w:after="0"/>
              <w:ind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Further discuss the candidate numbers for T1.</w:t>
            </w:r>
          </w:p>
        </w:tc>
      </w:tr>
    </w:tbl>
    <w:p w14:paraId="4407B273">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Even if FBS condition is met, UE can fallback </w:t>
      </w:r>
      <w:r>
        <w:rPr>
          <w:rFonts w:hint="default" w:ascii="Times New Roman" w:hAnsi="Times New Roman" w:eastAsia="宋体" w:cs="Times New Roman"/>
          <w:sz w:val="20"/>
          <w:szCs w:val="20"/>
        </w:rPr>
        <w:t>back to normal measurement when it has performed fast measurement for at least T1</w:t>
      </w:r>
      <w:r>
        <w:rPr>
          <w:rFonts w:hint="eastAsia" w:ascii="Times New Roman" w:hAnsi="Times New Roman" w:cs="Times New Roman"/>
          <w:sz w:val="20"/>
          <w:szCs w:val="20"/>
          <w:lang w:val="en-US" w:eastAsia="zh-CN"/>
        </w:rPr>
        <w:t xml:space="preserve">. Since the UE behaviour is different, it is proposed to discuss whether to introduce test case for quiting mechanism when FBS conditions are met. On one hand, it is better to introduce test case to verify the performance. On the other hand, the mechanism is that UE is allowed to fallback to </w:t>
      </w:r>
      <w:r>
        <w:rPr>
          <w:rFonts w:hint="default" w:ascii="Times New Roman" w:hAnsi="Times New Roman" w:eastAsia="宋体" w:cs="Times New Roman"/>
          <w:sz w:val="20"/>
          <w:szCs w:val="20"/>
        </w:rPr>
        <w:t>normal measurement</w:t>
      </w:r>
      <w:r>
        <w:rPr>
          <w:rFonts w:hint="eastAsia" w:ascii="Times New Roman" w:hAnsi="Times New Roman" w:cs="Times New Roman"/>
          <w:sz w:val="20"/>
          <w:szCs w:val="20"/>
          <w:lang w:val="en-US" w:eastAsia="zh-CN"/>
        </w:rPr>
        <w:t>, which means that UE can choose not to fall back and continue to perform FBS after T1.</w:t>
      </w:r>
      <w:r>
        <w:rPr>
          <w:rFonts w:hint="eastAsia" w:ascii="Times New Roman" w:hAnsi="Times New Roman"/>
          <w:sz w:val="20"/>
          <w:szCs w:val="20"/>
          <w:lang w:val="en-US" w:eastAsia="zh-CN"/>
        </w:rPr>
        <w:t xml:space="preserve"> we re open for discussion, and would like to hear companies</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views.</w:t>
      </w:r>
    </w:p>
    <w:p w14:paraId="4CF7C748">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eastAsia="宋体"/>
          <w:b/>
          <w:bCs/>
          <w:i/>
          <w:iCs/>
          <w:sz w:val="20"/>
          <w:szCs w:val="20"/>
          <w:lang w:val="en-US" w:eastAsia="zh-CN"/>
        </w:rPr>
      </w:pPr>
      <w:r>
        <w:rPr>
          <w:rFonts w:hint="eastAsia" w:ascii="Times New Roman" w:hAnsi="Times New Roman"/>
          <w:b/>
          <w:bCs/>
          <w:i/>
          <w:iCs/>
          <w:sz w:val="20"/>
          <w:szCs w:val="20"/>
          <w:lang w:val="en-US" w:eastAsia="zh-CN"/>
        </w:rPr>
        <w:t xml:space="preserve">Proposal 1: it is proposed to discuss whether to test FBS quiting when FBS conditions are met, e.g. whether to test that UE fallback to </w:t>
      </w:r>
      <w:r>
        <w:rPr>
          <w:rFonts w:hint="default" w:ascii="Times New Roman" w:hAnsi="Times New Roman" w:eastAsia="宋体" w:cs="Times New Roman"/>
          <w:b/>
          <w:bCs/>
          <w:i/>
          <w:iCs/>
          <w:sz w:val="20"/>
          <w:szCs w:val="20"/>
        </w:rPr>
        <w:t>normal measurement when it has performed fast measurement for at least T1 from the time point when UE enters the FBS mode after meeting the FBS entry condition</w:t>
      </w:r>
      <w:r>
        <w:rPr>
          <w:rFonts w:hint="eastAsia" w:ascii="Times New Roman" w:hAnsi="Times New Roman" w:cs="Times New Roman"/>
          <w:b/>
          <w:bCs/>
          <w:i/>
          <w:iCs/>
          <w:sz w:val="20"/>
          <w:szCs w:val="20"/>
          <w:lang w:val="en-US" w:eastAsia="zh-CN"/>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462F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10BACEA0">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Issue 2-2-2: TC list for CSSF optimization solution 1</w:t>
            </w:r>
          </w:p>
          <w:p w14:paraId="480B7513">
            <w:pPr>
              <w:rPr>
                <w:rFonts w:hint="default" w:ascii="Times New Roman" w:hAnsi="Times New Roman" w:cs="Times New Roman"/>
                <w:i/>
                <w:color w:val="0070C0"/>
                <w:sz w:val="20"/>
                <w:szCs w:val="20"/>
              </w:rPr>
            </w:pPr>
          </w:p>
          <w:p w14:paraId="71E18F88">
            <w:pPr>
              <w:pStyle w:val="10"/>
              <w:numPr>
                <w:ilvl w:val="0"/>
                <w:numId w:val="9"/>
              </w:numPr>
              <w:overflowPunct/>
              <w:autoSpaceDE/>
              <w:autoSpaceDN/>
              <w:adjustRightInd/>
              <w:spacing w:after="18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Agreement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2054"/>
              <w:gridCol w:w="2140"/>
              <w:gridCol w:w="3133"/>
              <w:gridCol w:w="995"/>
            </w:tblGrid>
            <w:tr w14:paraId="2E9DB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05" w:type="dxa"/>
                  <w:tcBorders>
                    <w:top w:val="single" w:color="auto" w:sz="4" w:space="0"/>
                    <w:left w:val="single" w:color="auto" w:sz="4" w:space="0"/>
                    <w:bottom w:val="single" w:color="auto" w:sz="4" w:space="0"/>
                    <w:right w:val="single" w:color="auto" w:sz="4" w:space="0"/>
                  </w:tcBorders>
                </w:tcPr>
                <w:p w14:paraId="754C42FF">
                  <w:pPr>
                    <w:overflowPunct w:val="0"/>
                    <w:autoSpaceDE w:val="0"/>
                    <w:autoSpaceDN w:val="0"/>
                    <w:adjustRightInd w:val="0"/>
                    <w:snapToGrid w:val="0"/>
                    <w:spacing w:after="0"/>
                    <w:textAlignment w:val="baseline"/>
                    <w:rPr>
                      <w:rFonts w:hint="default" w:ascii="Times New Roman" w:hAnsi="Times New Roman" w:cs="Times New Roman"/>
                      <w:bCs/>
                      <w:sz w:val="20"/>
                      <w:szCs w:val="20"/>
                    </w:rPr>
                  </w:pPr>
                  <w:r>
                    <w:rPr>
                      <w:rFonts w:hint="default" w:ascii="Times New Roman" w:hAnsi="Times New Roman" w:cs="Times New Roman"/>
                      <w:sz w:val="20"/>
                      <w:szCs w:val="20"/>
                    </w:rPr>
                    <w:t>TC index</w:t>
                  </w:r>
                </w:p>
              </w:tc>
              <w:tc>
                <w:tcPr>
                  <w:tcW w:w="2160" w:type="dxa"/>
                  <w:tcBorders>
                    <w:top w:val="single" w:color="auto" w:sz="4" w:space="0"/>
                    <w:left w:val="single" w:color="auto" w:sz="4" w:space="0"/>
                    <w:bottom w:val="single" w:color="auto" w:sz="4" w:space="0"/>
                    <w:right w:val="single" w:color="auto" w:sz="4" w:space="0"/>
                  </w:tcBorders>
                </w:tcPr>
                <w:p w14:paraId="09B334BD">
                  <w:pPr>
                    <w:overflowPunct w:val="0"/>
                    <w:autoSpaceDE w:val="0"/>
                    <w:autoSpaceDN w:val="0"/>
                    <w:adjustRightInd w:val="0"/>
                    <w:snapToGrid w:val="0"/>
                    <w:spacing w:after="0"/>
                    <w:textAlignment w:val="baseline"/>
                    <w:rPr>
                      <w:rFonts w:hint="default" w:ascii="Times New Roman" w:hAnsi="Times New Roman" w:cs="Times New Roman"/>
                      <w:bCs/>
                      <w:sz w:val="20"/>
                      <w:szCs w:val="20"/>
                    </w:rPr>
                  </w:pPr>
                  <w:r>
                    <w:rPr>
                      <w:rFonts w:hint="default" w:ascii="Times New Roman" w:hAnsi="Times New Roman" w:cs="Times New Roman"/>
                      <w:sz w:val="20"/>
                      <w:szCs w:val="20"/>
                    </w:rPr>
                    <w:t>Scenario</w:t>
                  </w:r>
                </w:p>
              </w:tc>
              <w:tc>
                <w:tcPr>
                  <w:tcW w:w="2340" w:type="dxa"/>
                  <w:tcBorders>
                    <w:top w:val="single" w:color="auto" w:sz="4" w:space="0"/>
                    <w:left w:val="single" w:color="auto" w:sz="4" w:space="0"/>
                    <w:bottom w:val="single" w:color="auto" w:sz="4" w:space="0"/>
                    <w:right w:val="single" w:color="auto" w:sz="4" w:space="0"/>
                  </w:tcBorders>
                </w:tcPr>
                <w:p w14:paraId="3AFAF321">
                  <w:pPr>
                    <w:overflowPunct w:val="0"/>
                    <w:autoSpaceDE w:val="0"/>
                    <w:autoSpaceDN w:val="0"/>
                    <w:adjustRightInd w:val="0"/>
                    <w:snapToGrid w:val="0"/>
                    <w:spacing w:after="0"/>
                    <w:textAlignment w:val="baseline"/>
                    <w:rPr>
                      <w:rFonts w:hint="default" w:ascii="Times New Roman" w:hAnsi="Times New Roman" w:cs="Times New Roman"/>
                      <w:bCs/>
                      <w:sz w:val="20"/>
                      <w:szCs w:val="20"/>
                    </w:rPr>
                  </w:pPr>
                  <w:r>
                    <w:rPr>
                      <w:rFonts w:hint="default" w:ascii="Times New Roman" w:hAnsi="Times New Roman" w:cs="Times New Roman"/>
                      <w:sz w:val="20"/>
                      <w:szCs w:val="20"/>
                    </w:rPr>
                    <w:t>CA/DC Operation mode</w:t>
                  </w:r>
                </w:p>
              </w:tc>
              <w:tc>
                <w:tcPr>
                  <w:tcW w:w="3420" w:type="dxa"/>
                  <w:tcBorders>
                    <w:top w:val="single" w:color="auto" w:sz="4" w:space="0"/>
                    <w:left w:val="single" w:color="auto" w:sz="4" w:space="0"/>
                    <w:bottom w:val="single" w:color="auto" w:sz="4" w:space="0"/>
                    <w:right w:val="single" w:color="auto" w:sz="4" w:space="0"/>
                  </w:tcBorders>
                </w:tcPr>
                <w:p w14:paraId="484E02DE">
                  <w:pPr>
                    <w:overflowPunct w:val="0"/>
                    <w:autoSpaceDE w:val="0"/>
                    <w:autoSpaceDN w:val="0"/>
                    <w:adjustRightInd w:val="0"/>
                    <w:snapToGrid w:val="0"/>
                    <w:spacing w:after="0"/>
                    <w:textAlignment w:val="baseline"/>
                    <w:rPr>
                      <w:rFonts w:hint="default" w:ascii="Times New Roman" w:hAnsi="Times New Roman" w:cs="Times New Roman"/>
                      <w:bCs/>
                      <w:sz w:val="20"/>
                      <w:szCs w:val="20"/>
                    </w:rPr>
                  </w:pPr>
                  <w:r>
                    <w:rPr>
                      <w:rFonts w:hint="default" w:ascii="Times New Roman" w:hAnsi="Times New Roman" w:cs="Times New Roman"/>
                      <w:sz w:val="20"/>
                      <w:szCs w:val="20"/>
                    </w:rPr>
                    <w:t>Configurations and scopes</w:t>
                  </w:r>
                </w:p>
              </w:tc>
              <w:tc>
                <w:tcPr>
                  <w:tcW w:w="906" w:type="dxa"/>
                  <w:tcBorders>
                    <w:top w:val="single" w:color="auto" w:sz="4" w:space="0"/>
                    <w:left w:val="single" w:color="auto" w:sz="4" w:space="0"/>
                    <w:bottom w:val="single" w:color="auto" w:sz="4" w:space="0"/>
                    <w:right w:val="single" w:color="auto" w:sz="4" w:space="0"/>
                  </w:tcBorders>
                </w:tcPr>
                <w:p w14:paraId="73D0DC3B">
                  <w:pPr>
                    <w:overflowPunct w:val="0"/>
                    <w:autoSpaceDE w:val="0"/>
                    <w:autoSpaceDN w:val="0"/>
                    <w:adjustRightInd w:val="0"/>
                    <w:snapToGrid w:val="0"/>
                    <w:spacing w:after="0"/>
                    <w:textAlignment w:val="baseline"/>
                    <w:rPr>
                      <w:rFonts w:hint="default" w:ascii="Times New Roman" w:hAnsi="Times New Roman" w:cs="Times New Roman"/>
                      <w:bCs/>
                      <w:sz w:val="20"/>
                      <w:szCs w:val="20"/>
                    </w:rPr>
                  </w:pPr>
                  <w:r>
                    <w:rPr>
                      <w:rFonts w:hint="default" w:ascii="Times New Roman" w:hAnsi="Times New Roman" w:cs="Times New Roman"/>
                      <w:sz w:val="20"/>
                      <w:szCs w:val="20"/>
                    </w:rPr>
                    <w:t>Company</w:t>
                  </w:r>
                </w:p>
              </w:tc>
            </w:tr>
            <w:tr w14:paraId="2B566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05" w:type="dxa"/>
                  <w:tcBorders>
                    <w:top w:val="single" w:color="auto" w:sz="4" w:space="0"/>
                    <w:left w:val="single" w:color="auto" w:sz="4" w:space="0"/>
                    <w:bottom w:val="single" w:color="auto" w:sz="4" w:space="0"/>
                    <w:right w:val="single" w:color="auto" w:sz="4" w:space="0"/>
                  </w:tcBorders>
                </w:tcPr>
                <w:p w14:paraId="74A67E8C">
                  <w:pPr>
                    <w:overflowPunct w:val="0"/>
                    <w:autoSpaceDE w:val="0"/>
                    <w:autoSpaceDN w:val="0"/>
                    <w:adjustRightInd w:val="0"/>
                    <w:snapToGrid w:val="0"/>
                    <w:spacing w:after="0"/>
                    <w:textAlignment w:val="baseline"/>
                    <w:rPr>
                      <w:rFonts w:hint="default" w:ascii="Times New Roman" w:hAnsi="Times New Roman" w:cs="Times New Roman"/>
                      <w:bCs/>
                      <w:sz w:val="20"/>
                      <w:szCs w:val="20"/>
                    </w:rPr>
                  </w:pPr>
                  <w:r>
                    <w:rPr>
                      <w:rFonts w:hint="default" w:ascii="Times New Roman" w:hAnsi="Times New Roman" w:cs="Times New Roman"/>
                      <w:sz w:val="20"/>
                      <w:szCs w:val="20"/>
                    </w:rPr>
                    <w:t>1</w:t>
                  </w:r>
                </w:p>
              </w:tc>
              <w:tc>
                <w:tcPr>
                  <w:tcW w:w="2160" w:type="dxa"/>
                  <w:tcBorders>
                    <w:top w:val="single" w:color="auto" w:sz="4" w:space="0"/>
                    <w:left w:val="single" w:color="auto" w:sz="4" w:space="0"/>
                    <w:bottom w:val="single" w:color="auto" w:sz="4" w:space="0"/>
                    <w:right w:val="single" w:color="auto" w:sz="4" w:space="0"/>
                  </w:tcBorders>
                </w:tcPr>
                <w:p w14:paraId="3251C82E">
                  <w:pPr>
                    <w:overflowPunct w:val="0"/>
                    <w:autoSpaceDE w:val="0"/>
                    <w:autoSpaceDN w:val="0"/>
                    <w:adjustRightInd w:val="0"/>
                    <w:snapToGrid w:val="0"/>
                    <w:spacing w:after="0"/>
                    <w:textAlignment w:val="baseline"/>
                    <w:rPr>
                      <w:rFonts w:hint="default" w:ascii="Times New Roman" w:hAnsi="Times New Roman" w:cs="Times New Roman"/>
                      <w:sz w:val="20"/>
                      <w:szCs w:val="20"/>
                    </w:rPr>
                  </w:pPr>
                  <w:r>
                    <w:rPr>
                      <w:rFonts w:hint="default" w:ascii="Times New Roman" w:hAnsi="Times New Roman" w:cs="Times New Roman"/>
                      <w:sz w:val="20"/>
                      <w:szCs w:val="20"/>
                    </w:rPr>
                    <w:t>Aspect 1: SSB based Intra-frequency measurement without MG</w:t>
                  </w:r>
                </w:p>
              </w:tc>
              <w:tc>
                <w:tcPr>
                  <w:tcW w:w="2340" w:type="dxa"/>
                  <w:tcBorders>
                    <w:top w:val="single" w:color="auto" w:sz="4" w:space="0"/>
                    <w:left w:val="single" w:color="auto" w:sz="4" w:space="0"/>
                    <w:bottom w:val="single" w:color="auto" w:sz="4" w:space="0"/>
                    <w:right w:val="single" w:color="auto" w:sz="4" w:space="0"/>
                  </w:tcBorders>
                </w:tcPr>
                <w:p w14:paraId="06796834">
                  <w:pPr>
                    <w:overflowPunct w:val="0"/>
                    <w:autoSpaceDE w:val="0"/>
                    <w:autoSpaceDN w:val="0"/>
                    <w:adjustRightInd w:val="0"/>
                    <w:snapToGrid w:val="0"/>
                    <w:spacing w:after="0"/>
                    <w:textAlignment w:val="baseline"/>
                    <w:rPr>
                      <w:rFonts w:hint="default" w:ascii="Times New Roman" w:hAnsi="Times New Roman" w:cs="Times New Roman"/>
                      <w:bCs/>
                      <w:sz w:val="20"/>
                      <w:szCs w:val="20"/>
                    </w:rPr>
                  </w:pPr>
                  <w:r>
                    <w:rPr>
                      <w:rFonts w:hint="default" w:ascii="Times New Roman" w:hAnsi="Times New Roman" w:cs="Times New Roman"/>
                      <w:sz w:val="20"/>
                      <w:szCs w:val="20"/>
                    </w:rPr>
                    <w:t>1 TC per operation mode: FR1+FR2 CA and EN-DC, UE is only required to pass one of them</w:t>
                  </w:r>
                </w:p>
              </w:tc>
              <w:tc>
                <w:tcPr>
                  <w:tcW w:w="3420" w:type="dxa"/>
                  <w:tcBorders>
                    <w:top w:val="single" w:color="auto" w:sz="4" w:space="0"/>
                    <w:left w:val="single" w:color="auto" w:sz="4" w:space="0"/>
                    <w:bottom w:val="single" w:color="auto" w:sz="4" w:space="0"/>
                    <w:right w:val="single" w:color="auto" w:sz="4" w:space="0"/>
                  </w:tcBorders>
                </w:tcPr>
                <w:p w14:paraId="7A9F3E0C">
                  <w:pPr>
                    <w:pStyle w:val="10"/>
                    <w:numPr>
                      <w:ilvl w:val="0"/>
                      <w:numId w:val="10"/>
                    </w:numPr>
                    <w:snapToGrid w:val="0"/>
                    <w:spacing w:after="0"/>
                    <w:ind w:left="0" w:firstLine="0"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Non-DRX, </w:t>
                  </w:r>
                </w:p>
                <w:p w14:paraId="4A1C442D">
                  <w:pPr>
                    <w:pStyle w:val="10"/>
                    <w:numPr>
                      <w:ilvl w:val="0"/>
                      <w:numId w:val="10"/>
                    </w:numPr>
                    <w:snapToGrid w:val="0"/>
                    <w:spacing w:after="0"/>
                    <w:ind w:left="0" w:firstLine="0" w:firstLineChars="0"/>
                    <w:rPr>
                      <w:rFonts w:hint="default" w:ascii="Times New Roman" w:hAnsi="Times New Roman" w:cs="Times New Roman"/>
                      <w:bCs/>
                      <w:sz w:val="20"/>
                      <w:szCs w:val="20"/>
                    </w:rPr>
                  </w:pPr>
                  <w:r>
                    <w:rPr>
                      <w:rFonts w:hint="default" w:ascii="Times New Roman" w:hAnsi="Times New Roman" w:cs="Times New Roman"/>
                      <w:sz w:val="20"/>
                      <w:szCs w:val="20"/>
                    </w:rPr>
                    <w:t>Without SSB time index detection</w:t>
                  </w:r>
                </w:p>
                <w:p w14:paraId="397048E4">
                  <w:pPr>
                    <w:pStyle w:val="10"/>
                    <w:numPr>
                      <w:ilvl w:val="0"/>
                      <w:numId w:val="10"/>
                    </w:numPr>
                    <w:snapToGrid w:val="0"/>
                    <w:spacing w:after="0"/>
                    <w:ind w:left="0" w:firstLine="0" w:firstLineChars="0"/>
                    <w:rPr>
                      <w:rFonts w:hint="default" w:ascii="Times New Roman" w:hAnsi="Times New Roman" w:cs="Times New Roman"/>
                      <w:sz w:val="20"/>
                      <w:szCs w:val="20"/>
                    </w:rPr>
                  </w:pPr>
                  <w:r>
                    <w:rPr>
                      <w:rFonts w:hint="default" w:ascii="Times New Roman" w:hAnsi="Times New Roman" w:cs="Times New Roman"/>
                      <w:sz w:val="20"/>
                      <w:szCs w:val="20"/>
                    </w:rPr>
                    <w:t>CA mode: FR1 PCC+ 2 FR2 intra-band SCCs, network configures MOs on both FR2 SCCs and indicates to measure one FR2 SCC</w:t>
                  </w:r>
                </w:p>
                <w:p w14:paraId="23A924CD">
                  <w:pPr>
                    <w:pStyle w:val="10"/>
                    <w:numPr>
                      <w:ilvl w:val="0"/>
                      <w:numId w:val="10"/>
                    </w:numPr>
                    <w:snapToGrid w:val="0"/>
                    <w:spacing w:after="0"/>
                    <w:ind w:left="0" w:firstLine="0" w:firstLineChars="0"/>
                    <w:rPr>
                      <w:rFonts w:hint="default" w:ascii="Times New Roman" w:hAnsi="Times New Roman" w:cs="Times New Roman"/>
                      <w:sz w:val="20"/>
                      <w:szCs w:val="20"/>
                    </w:rPr>
                  </w:pPr>
                  <w:r>
                    <w:rPr>
                      <w:rFonts w:hint="default" w:ascii="Times New Roman" w:hAnsi="Times New Roman" w:cs="Times New Roman"/>
                      <w:sz w:val="20"/>
                      <w:szCs w:val="20"/>
                    </w:rPr>
                    <w:t>EN-DC: LTE PCC + FR2 PSCC + 1 FR2 intra-band SCCs, network configures MOs on both FR2 SCCs and UE by-default to measure one FR2 PSCC</w:t>
                  </w:r>
                </w:p>
              </w:tc>
              <w:tc>
                <w:tcPr>
                  <w:tcW w:w="906" w:type="dxa"/>
                  <w:tcBorders>
                    <w:top w:val="single" w:color="auto" w:sz="4" w:space="0"/>
                    <w:left w:val="single" w:color="auto" w:sz="4" w:space="0"/>
                    <w:bottom w:val="single" w:color="auto" w:sz="4" w:space="0"/>
                    <w:right w:val="single" w:color="auto" w:sz="4" w:space="0"/>
                  </w:tcBorders>
                </w:tcPr>
                <w:p w14:paraId="2AF59B60">
                  <w:pPr>
                    <w:overflowPunct w:val="0"/>
                    <w:autoSpaceDE w:val="0"/>
                    <w:autoSpaceDN w:val="0"/>
                    <w:adjustRightInd w:val="0"/>
                    <w:snapToGrid w:val="0"/>
                    <w:spacing w:after="0"/>
                    <w:textAlignment w:val="baseline"/>
                    <w:rPr>
                      <w:rFonts w:hint="default" w:ascii="Times New Roman" w:hAnsi="Times New Roman" w:cs="Times New Roman"/>
                      <w:bCs/>
                      <w:sz w:val="20"/>
                      <w:szCs w:val="20"/>
                    </w:rPr>
                  </w:pPr>
                  <w:r>
                    <w:rPr>
                      <w:rFonts w:hint="default" w:ascii="Times New Roman" w:hAnsi="Times New Roman" w:cs="Times New Roman"/>
                      <w:sz w:val="20"/>
                      <w:szCs w:val="20"/>
                    </w:rPr>
                    <w:t>Nokia</w:t>
                  </w:r>
                </w:p>
              </w:tc>
            </w:tr>
            <w:tr w14:paraId="3C79A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05" w:type="dxa"/>
                  <w:tcBorders>
                    <w:top w:val="single" w:color="auto" w:sz="4" w:space="0"/>
                    <w:left w:val="single" w:color="auto" w:sz="4" w:space="0"/>
                    <w:bottom w:val="single" w:color="auto" w:sz="4" w:space="0"/>
                    <w:right w:val="single" w:color="auto" w:sz="4" w:space="0"/>
                  </w:tcBorders>
                </w:tcPr>
                <w:p w14:paraId="2E04CDA7">
                  <w:pPr>
                    <w:overflowPunct w:val="0"/>
                    <w:autoSpaceDE w:val="0"/>
                    <w:autoSpaceDN w:val="0"/>
                    <w:adjustRightInd w:val="0"/>
                    <w:snapToGrid w:val="0"/>
                    <w:spacing w:after="0"/>
                    <w:textAlignment w:val="baseline"/>
                    <w:rPr>
                      <w:rFonts w:hint="default" w:ascii="Times New Roman" w:hAnsi="Times New Roman" w:cs="Times New Roman"/>
                      <w:bCs/>
                      <w:sz w:val="20"/>
                      <w:szCs w:val="20"/>
                    </w:rPr>
                  </w:pPr>
                  <w:r>
                    <w:rPr>
                      <w:rFonts w:hint="default" w:ascii="Times New Roman" w:hAnsi="Times New Roman" w:cs="Times New Roman"/>
                      <w:sz w:val="20"/>
                      <w:szCs w:val="20"/>
                    </w:rPr>
                    <w:t>2</w:t>
                  </w:r>
                </w:p>
              </w:tc>
              <w:tc>
                <w:tcPr>
                  <w:tcW w:w="2160" w:type="dxa"/>
                  <w:tcBorders>
                    <w:top w:val="single" w:color="auto" w:sz="4" w:space="0"/>
                    <w:left w:val="single" w:color="auto" w:sz="4" w:space="0"/>
                    <w:bottom w:val="single" w:color="auto" w:sz="4" w:space="0"/>
                    <w:right w:val="single" w:color="auto" w:sz="4" w:space="0"/>
                  </w:tcBorders>
                </w:tcPr>
                <w:p w14:paraId="09523D90">
                  <w:pPr>
                    <w:overflowPunct w:val="0"/>
                    <w:autoSpaceDE w:val="0"/>
                    <w:autoSpaceDN w:val="0"/>
                    <w:adjustRightInd w:val="0"/>
                    <w:snapToGrid w:val="0"/>
                    <w:spacing w:after="0"/>
                    <w:textAlignment w:val="baseline"/>
                    <w:rPr>
                      <w:rFonts w:hint="default" w:ascii="Times New Roman" w:hAnsi="Times New Roman" w:cs="Times New Roman"/>
                      <w:bCs/>
                      <w:sz w:val="20"/>
                      <w:szCs w:val="20"/>
                    </w:rPr>
                  </w:pPr>
                  <w:r>
                    <w:rPr>
                      <w:rFonts w:hint="default" w:ascii="Times New Roman" w:hAnsi="Times New Roman" w:cs="Times New Roman"/>
                      <w:sz w:val="20"/>
                      <w:szCs w:val="20"/>
                    </w:rPr>
                    <w:t>Aspect 2: SSB based Inter-frequency measurement without MG</w:t>
                  </w:r>
                </w:p>
              </w:tc>
              <w:tc>
                <w:tcPr>
                  <w:tcW w:w="2340" w:type="dxa"/>
                  <w:tcBorders>
                    <w:top w:val="single" w:color="auto" w:sz="4" w:space="0"/>
                    <w:left w:val="single" w:color="auto" w:sz="4" w:space="0"/>
                    <w:bottom w:val="single" w:color="auto" w:sz="4" w:space="0"/>
                    <w:right w:val="single" w:color="auto" w:sz="4" w:space="0"/>
                  </w:tcBorders>
                </w:tcPr>
                <w:p w14:paraId="33107223">
                  <w:pPr>
                    <w:overflowPunct w:val="0"/>
                    <w:autoSpaceDE w:val="0"/>
                    <w:autoSpaceDN w:val="0"/>
                    <w:adjustRightInd w:val="0"/>
                    <w:snapToGrid w:val="0"/>
                    <w:spacing w:after="0"/>
                    <w:textAlignment w:val="baseline"/>
                    <w:rPr>
                      <w:rFonts w:hint="default" w:ascii="Times New Roman" w:hAnsi="Times New Roman" w:cs="Times New Roman"/>
                      <w:bCs/>
                      <w:sz w:val="20"/>
                      <w:szCs w:val="20"/>
                    </w:rPr>
                  </w:pPr>
                  <w:r>
                    <w:rPr>
                      <w:rFonts w:hint="default" w:ascii="Times New Roman" w:hAnsi="Times New Roman" w:cs="Times New Roman"/>
                      <w:sz w:val="20"/>
                      <w:szCs w:val="20"/>
                    </w:rPr>
                    <w:t>1 TC per operation mode: FR1+FR2 CA and EN-DC, UE is only required to pass one of them</w:t>
                  </w:r>
                </w:p>
              </w:tc>
              <w:tc>
                <w:tcPr>
                  <w:tcW w:w="3420" w:type="dxa"/>
                  <w:tcBorders>
                    <w:top w:val="single" w:color="auto" w:sz="4" w:space="0"/>
                    <w:left w:val="single" w:color="auto" w:sz="4" w:space="0"/>
                    <w:bottom w:val="single" w:color="auto" w:sz="4" w:space="0"/>
                    <w:right w:val="single" w:color="auto" w:sz="4" w:space="0"/>
                  </w:tcBorders>
                </w:tcPr>
                <w:p w14:paraId="18F784BB">
                  <w:pPr>
                    <w:pStyle w:val="10"/>
                    <w:numPr>
                      <w:ilvl w:val="0"/>
                      <w:numId w:val="10"/>
                    </w:numPr>
                    <w:snapToGrid w:val="0"/>
                    <w:spacing w:after="0"/>
                    <w:ind w:left="0" w:firstLine="0"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Non-DRX, </w:t>
                  </w:r>
                </w:p>
                <w:p w14:paraId="6AABAF81">
                  <w:pPr>
                    <w:pStyle w:val="10"/>
                    <w:numPr>
                      <w:ilvl w:val="0"/>
                      <w:numId w:val="10"/>
                    </w:numPr>
                    <w:snapToGrid w:val="0"/>
                    <w:spacing w:after="0"/>
                    <w:ind w:left="0" w:firstLine="0" w:firstLineChars="0"/>
                    <w:rPr>
                      <w:rFonts w:hint="default" w:ascii="Times New Roman" w:hAnsi="Times New Roman" w:cs="Times New Roman"/>
                      <w:bCs/>
                      <w:sz w:val="20"/>
                      <w:szCs w:val="20"/>
                    </w:rPr>
                  </w:pPr>
                  <w:r>
                    <w:rPr>
                      <w:rFonts w:hint="default" w:ascii="Times New Roman" w:hAnsi="Times New Roman" w:cs="Times New Roman"/>
                      <w:sz w:val="20"/>
                      <w:szCs w:val="20"/>
                    </w:rPr>
                    <w:t>Without SSB time index detection</w:t>
                  </w:r>
                </w:p>
                <w:p w14:paraId="5778E332">
                  <w:pPr>
                    <w:pStyle w:val="10"/>
                    <w:numPr>
                      <w:ilvl w:val="0"/>
                      <w:numId w:val="10"/>
                    </w:numPr>
                    <w:snapToGrid w:val="0"/>
                    <w:spacing w:after="0"/>
                    <w:ind w:left="0" w:firstLine="0" w:firstLineChars="0"/>
                    <w:rPr>
                      <w:rFonts w:hint="default" w:ascii="Times New Roman" w:hAnsi="Times New Roman" w:cs="Times New Roman"/>
                      <w:sz w:val="20"/>
                      <w:szCs w:val="20"/>
                    </w:rPr>
                  </w:pPr>
                  <w:r>
                    <w:rPr>
                      <w:rFonts w:hint="default" w:ascii="Times New Roman" w:hAnsi="Times New Roman" w:cs="Times New Roman"/>
                      <w:sz w:val="20"/>
                      <w:szCs w:val="20"/>
                    </w:rPr>
                    <w:t>CA mode: FR1 PCC+ 2 FR2 intra-band SCCs, network configures MOs on both FR2 SCCs and indicates to measure one FR2 SCC</w:t>
                  </w:r>
                </w:p>
                <w:p w14:paraId="53B0CE41">
                  <w:pPr>
                    <w:pStyle w:val="10"/>
                    <w:numPr>
                      <w:ilvl w:val="0"/>
                      <w:numId w:val="10"/>
                    </w:numPr>
                    <w:snapToGrid w:val="0"/>
                    <w:spacing w:after="0"/>
                    <w:ind w:left="0" w:firstLine="0" w:firstLineChars="0"/>
                    <w:rPr>
                      <w:rFonts w:hint="default" w:ascii="Times New Roman" w:hAnsi="Times New Roman" w:cs="Times New Roman"/>
                      <w:sz w:val="20"/>
                      <w:szCs w:val="20"/>
                    </w:rPr>
                  </w:pPr>
                  <w:r>
                    <w:rPr>
                      <w:rFonts w:hint="default" w:ascii="Times New Roman" w:hAnsi="Times New Roman" w:cs="Times New Roman"/>
                      <w:sz w:val="20"/>
                      <w:szCs w:val="20"/>
                    </w:rPr>
                    <w:t>EN-DC: LTE PCC + FR2 PSCC + 1 FR2 intra-band SCCs, network configures MOs on both FR2 SCCs and UE by-default to measure one FR2 PSCC</w:t>
                  </w:r>
                </w:p>
              </w:tc>
              <w:tc>
                <w:tcPr>
                  <w:tcW w:w="906" w:type="dxa"/>
                  <w:tcBorders>
                    <w:top w:val="single" w:color="auto" w:sz="4" w:space="0"/>
                    <w:left w:val="single" w:color="auto" w:sz="4" w:space="0"/>
                    <w:bottom w:val="single" w:color="auto" w:sz="4" w:space="0"/>
                    <w:right w:val="single" w:color="auto" w:sz="4" w:space="0"/>
                  </w:tcBorders>
                </w:tcPr>
                <w:p w14:paraId="40E56C54">
                  <w:pPr>
                    <w:overflowPunct w:val="0"/>
                    <w:autoSpaceDE w:val="0"/>
                    <w:autoSpaceDN w:val="0"/>
                    <w:adjustRightInd w:val="0"/>
                    <w:snapToGrid w:val="0"/>
                    <w:spacing w:after="0"/>
                    <w:textAlignment w:val="baseline"/>
                    <w:rPr>
                      <w:rFonts w:hint="default" w:ascii="Times New Roman" w:hAnsi="Times New Roman" w:cs="Times New Roman"/>
                      <w:bCs/>
                      <w:sz w:val="20"/>
                      <w:szCs w:val="20"/>
                    </w:rPr>
                  </w:pPr>
                  <w:r>
                    <w:rPr>
                      <w:rFonts w:hint="default" w:ascii="Times New Roman" w:hAnsi="Times New Roman" w:cs="Times New Roman"/>
                      <w:sz w:val="20"/>
                      <w:szCs w:val="20"/>
                    </w:rPr>
                    <w:t>Ericsson</w:t>
                  </w:r>
                </w:p>
              </w:tc>
            </w:tr>
            <w:tr w14:paraId="61F28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05" w:type="dxa"/>
                  <w:tcBorders>
                    <w:top w:val="single" w:color="auto" w:sz="4" w:space="0"/>
                    <w:left w:val="single" w:color="auto" w:sz="4" w:space="0"/>
                    <w:bottom w:val="single" w:color="auto" w:sz="4" w:space="0"/>
                    <w:right w:val="single" w:color="auto" w:sz="4" w:space="0"/>
                  </w:tcBorders>
                </w:tcPr>
                <w:p w14:paraId="2331EC98">
                  <w:pPr>
                    <w:overflowPunct w:val="0"/>
                    <w:autoSpaceDE w:val="0"/>
                    <w:autoSpaceDN w:val="0"/>
                    <w:adjustRightInd w:val="0"/>
                    <w:snapToGrid w:val="0"/>
                    <w:spacing w:after="0"/>
                    <w:textAlignment w:val="baseline"/>
                    <w:rPr>
                      <w:rFonts w:hint="default" w:ascii="Times New Roman" w:hAnsi="Times New Roman" w:cs="Times New Roman"/>
                      <w:bCs/>
                      <w:sz w:val="20"/>
                      <w:szCs w:val="20"/>
                    </w:rPr>
                  </w:pPr>
                  <w:r>
                    <w:rPr>
                      <w:rFonts w:hint="default" w:ascii="Times New Roman" w:hAnsi="Times New Roman" w:cs="Times New Roman"/>
                      <w:sz w:val="20"/>
                      <w:szCs w:val="20"/>
                    </w:rPr>
                    <w:t>3</w:t>
                  </w:r>
                </w:p>
              </w:tc>
              <w:tc>
                <w:tcPr>
                  <w:tcW w:w="2160" w:type="dxa"/>
                  <w:tcBorders>
                    <w:top w:val="single" w:color="auto" w:sz="4" w:space="0"/>
                    <w:left w:val="single" w:color="auto" w:sz="4" w:space="0"/>
                    <w:bottom w:val="single" w:color="auto" w:sz="4" w:space="0"/>
                    <w:right w:val="single" w:color="auto" w:sz="4" w:space="0"/>
                  </w:tcBorders>
                </w:tcPr>
                <w:p w14:paraId="4D4E4BD3">
                  <w:pPr>
                    <w:overflowPunct w:val="0"/>
                    <w:autoSpaceDE w:val="0"/>
                    <w:autoSpaceDN w:val="0"/>
                    <w:adjustRightInd w:val="0"/>
                    <w:snapToGrid w:val="0"/>
                    <w:spacing w:after="0"/>
                    <w:textAlignment w:val="baseline"/>
                    <w:rPr>
                      <w:rFonts w:hint="default" w:ascii="Times New Roman" w:hAnsi="Times New Roman" w:cs="Times New Roman"/>
                      <w:bCs/>
                      <w:sz w:val="20"/>
                      <w:szCs w:val="20"/>
                    </w:rPr>
                  </w:pPr>
                  <w:r>
                    <w:rPr>
                      <w:rFonts w:hint="default" w:ascii="Times New Roman" w:hAnsi="Times New Roman" w:cs="Times New Roman"/>
                      <w:sz w:val="20"/>
                      <w:szCs w:val="20"/>
                    </w:rPr>
                    <w:t>Aspect 3: Inter-RAT SSB measurement without MG</w:t>
                  </w:r>
                </w:p>
              </w:tc>
              <w:tc>
                <w:tcPr>
                  <w:tcW w:w="2340" w:type="dxa"/>
                  <w:tcBorders>
                    <w:top w:val="single" w:color="auto" w:sz="4" w:space="0"/>
                    <w:left w:val="single" w:color="auto" w:sz="4" w:space="0"/>
                    <w:bottom w:val="single" w:color="auto" w:sz="4" w:space="0"/>
                    <w:right w:val="single" w:color="auto" w:sz="4" w:space="0"/>
                  </w:tcBorders>
                </w:tcPr>
                <w:p w14:paraId="4FBFB7DE">
                  <w:pPr>
                    <w:overflowPunct w:val="0"/>
                    <w:autoSpaceDE w:val="0"/>
                    <w:autoSpaceDN w:val="0"/>
                    <w:adjustRightInd w:val="0"/>
                    <w:snapToGrid w:val="0"/>
                    <w:spacing w:after="0"/>
                    <w:textAlignment w:val="baseline"/>
                    <w:rPr>
                      <w:rFonts w:hint="default" w:ascii="Times New Roman" w:hAnsi="Times New Roman" w:cs="Times New Roman"/>
                      <w:bCs/>
                      <w:sz w:val="20"/>
                      <w:szCs w:val="20"/>
                    </w:rPr>
                  </w:pPr>
                  <w:r>
                    <w:rPr>
                      <w:rFonts w:hint="default" w:ascii="Times New Roman" w:hAnsi="Times New Roman" w:cs="Times New Roman"/>
                      <w:sz w:val="20"/>
                      <w:szCs w:val="20"/>
                    </w:rPr>
                    <w:t>1 TC per operation mode: FR1+FR2 CA and EN-DC, UE is only required to pass one of them</w:t>
                  </w:r>
                </w:p>
              </w:tc>
              <w:tc>
                <w:tcPr>
                  <w:tcW w:w="3420" w:type="dxa"/>
                  <w:tcBorders>
                    <w:top w:val="single" w:color="auto" w:sz="4" w:space="0"/>
                    <w:left w:val="single" w:color="auto" w:sz="4" w:space="0"/>
                    <w:bottom w:val="single" w:color="auto" w:sz="4" w:space="0"/>
                    <w:right w:val="single" w:color="auto" w:sz="4" w:space="0"/>
                  </w:tcBorders>
                </w:tcPr>
                <w:p w14:paraId="08FD8DCD">
                  <w:pPr>
                    <w:pStyle w:val="10"/>
                    <w:numPr>
                      <w:ilvl w:val="0"/>
                      <w:numId w:val="10"/>
                    </w:numPr>
                    <w:snapToGrid w:val="0"/>
                    <w:spacing w:after="0"/>
                    <w:ind w:left="0" w:firstLine="0"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Non-DRX, </w:t>
                  </w:r>
                </w:p>
                <w:p w14:paraId="0235B643">
                  <w:pPr>
                    <w:pStyle w:val="10"/>
                    <w:numPr>
                      <w:ilvl w:val="0"/>
                      <w:numId w:val="10"/>
                    </w:numPr>
                    <w:snapToGrid w:val="0"/>
                    <w:spacing w:after="0"/>
                    <w:ind w:left="0" w:firstLine="0" w:firstLineChars="0"/>
                    <w:rPr>
                      <w:rFonts w:hint="default" w:ascii="Times New Roman" w:hAnsi="Times New Roman" w:cs="Times New Roman"/>
                      <w:bCs/>
                      <w:sz w:val="20"/>
                      <w:szCs w:val="20"/>
                    </w:rPr>
                  </w:pPr>
                  <w:r>
                    <w:rPr>
                      <w:rFonts w:hint="default" w:ascii="Times New Roman" w:hAnsi="Times New Roman" w:cs="Times New Roman"/>
                      <w:sz w:val="20"/>
                      <w:szCs w:val="20"/>
                    </w:rPr>
                    <w:t>Without SSB time index detection</w:t>
                  </w:r>
                </w:p>
                <w:p w14:paraId="619DD213">
                  <w:pPr>
                    <w:pStyle w:val="10"/>
                    <w:numPr>
                      <w:ilvl w:val="0"/>
                      <w:numId w:val="10"/>
                    </w:numPr>
                    <w:snapToGrid w:val="0"/>
                    <w:spacing w:after="0"/>
                    <w:ind w:left="0" w:firstLine="0" w:firstLineChars="0"/>
                    <w:rPr>
                      <w:rFonts w:hint="default" w:ascii="Times New Roman" w:hAnsi="Times New Roman" w:cs="Times New Roman"/>
                      <w:sz w:val="20"/>
                      <w:szCs w:val="20"/>
                    </w:rPr>
                  </w:pPr>
                  <w:r>
                    <w:rPr>
                      <w:rFonts w:hint="default" w:ascii="Times New Roman" w:hAnsi="Times New Roman" w:cs="Times New Roman"/>
                      <w:sz w:val="20"/>
                      <w:szCs w:val="20"/>
                    </w:rPr>
                    <w:t>CA mode: FR1 PCC+ 2 FR2 intra-band SCCs, network configures MOs on both FR2 SCCs and indicates to measure one FR2 SCC</w:t>
                  </w:r>
                </w:p>
                <w:p w14:paraId="7E910369">
                  <w:pPr>
                    <w:pStyle w:val="10"/>
                    <w:numPr>
                      <w:ilvl w:val="0"/>
                      <w:numId w:val="10"/>
                    </w:numPr>
                    <w:snapToGrid w:val="0"/>
                    <w:spacing w:after="0"/>
                    <w:ind w:left="0" w:firstLine="0" w:firstLineChars="0"/>
                    <w:rPr>
                      <w:rFonts w:hint="default" w:ascii="Times New Roman" w:hAnsi="Times New Roman" w:cs="Times New Roman"/>
                      <w:sz w:val="20"/>
                      <w:szCs w:val="20"/>
                    </w:rPr>
                  </w:pPr>
                  <w:r>
                    <w:rPr>
                      <w:rFonts w:hint="default" w:ascii="Times New Roman" w:hAnsi="Times New Roman" w:cs="Times New Roman"/>
                      <w:sz w:val="20"/>
                      <w:szCs w:val="20"/>
                    </w:rPr>
                    <w:t>EN-DC: LTE PCC + FR2 PSCC + 1 FR2 intra-band SCCs, network configures MOs on both FR2 SCCs and UE by-default to measure one FR2 PSCC</w:t>
                  </w:r>
                </w:p>
              </w:tc>
              <w:tc>
                <w:tcPr>
                  <w:tcW w:w="906" w:type="dxa"/>
                  <w:tcBorders>
                    <w:top w:val="single" w:color="auto" w:sz="4" w:space="0"/>
                    <w:left w:val="single" w:color="auto" w:sz="4" w:space="0"/>
                    <w:bottom w:val="single" w:color="auto" w:sz="4" w:space="0"/>
                    <w:right w:val="single" w:color="auto" w:sz="4" w:space="0"/>
                  </w:tcBorders>
                </w:tcPr>
                <w:p w14:paraId="1C3CC231">
                  <w:pPr>
                    <w:overflowPunct w:val="0"/>
                    <w:autoSpaceDE w:val="0"/>
                    <w:autoSpaceDN w:val="0"/>
                    <w:adjustRightInd w:val="0"/>
                    <w:snapToGrid w:val="0"/>
                    <w:spacing w:after="0"/>
                    <w:textAlignment w:val="baseline"/>
                    <w:rPr>
                      <w:rFonts w:hint="default" w:ascii="Times New Roman" w:hAnsi="Times New Roman" w:cs="Times New Roman"/>
                      <w:bCs/>
                      <w:sz w:val="20"/>
                      <w:szCs w:val="20"/>
                    </w:rPr>
                  </w:pPr>
                  <w:r>
                    <w:rPr>
                      <w:rFonts w:hint="default" w:ascii="Times New Roman" w:hAnsi="Times New Roman" w:cs="Times New Roman"/>
                      <w:bCs/>
                      <w:sz w:val="20"/>
                      <w:szCs w:val="20"/>
                    </w:rPr>
                    <w:t>ZTE</w:t>
                  </w:r>
                </w:p>
              </w:tc>
            </w:tr>
          </w:tbl>
          <w:p w14:paraId="73EEECEC">
            <w:pPr>
              <w:spacing w:after="18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rPr>
              <w:t>Note: network indication is up to the other RAN2/4 core part discussion. In case network indication for a specific SCC measurement is replaced by other new solution(e.g., SCC selected by UE implementation), use the new solution for CA mode test.</w:t>
            </w:r>
          </w:p>
        </w:tc>
      </w:tr>
    </w:tbl>
    <w:p w14:paraId="6EFFA9B0">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Solution 1 is to measure one serving CC per band. I</w:t>
      </w:r>
      <w:r>
        <w:rPr>
          <w:rFonts w:hint="eastAsia" w:ascii="Times New Roman" w:hAnsi="Times New Roman" w:cs="Times New Roman"/>
          <w:sz w:val="20"/>
          <w:szCs w:val="20"/>
          <w:lang w:val="en-US" w:eastAsia="zh-CN"/>
        </w:rPr>
        <w:t xml:space="preserve">n legacy, for FR2, UE shall also be capable of performing SS-RSRP, SS-RSRQ, and SS-SINR measurements for at least 2 SSBs on serving cell for each of the other intra-frequency layer(s) in the same band. With solution 1, UE only need to measure one serving CC per band. </w:t>
      </w:r>
    </w:p>
    <w:p w14:paraId="22CB3972">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Currently, the agreed test cases for solution 1 are only for FR2. However, there is on-going discussion that whether to expand solution 1 to FR1. if it is agreed to expand solution 1 to FR1, it is necessary to have test case for FR1 to guarantee the performance.</w:t>
      </w:r>
    </w:p>
    <w:p w14:paraId="591F13AA">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if it is agreed to expand solution 1 to FR1, it is proposed to introduce test case for FR1 solution 1.  </w:t>
      </w:r>
    </w:p>
    <w:p w14:paraId="56A64BA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bookmarkEnd w:id="6"/>
    <w:bookmarkEnd w:id="7"/>
    <w:p w14:paraId="230699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A4826A">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RRM performance requirements of FR2-1 SSB based L3 measurement delay reduction for connected mode. The proposals are:</w:t>
      </w:r>
    </w:p>
    <w:p w14:paraId="12469F21">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eastAsia="宋体"/>
          <w:b/>
          <w:bCs/>
          <w:i/>
          <w:iCs/>
          <w:sz w:val="20"/>
          <w:szCs w:val="20"/>
          <w:lang w:val="en-US" w:eastAsia="zh-CN"/>
        </w:rPr>
      </w:pPr>
      <w:r>
        <w:rPr>
          <w:rFonts w:hint="eastAsia" w:ascii="Times New Roman" w:hAnsi="Times New Roman"/>
          <w:b/>
          <w:bCs/>
          <w:i/>
          <w:iCs/>
          <w:sz w:val="20"/>
          <w:szCs w:val="20"/>
          <w:lang w:val="en-US" w:eastAsia="zh-CN"/>
        </w:rPr>
        <w:t xml:space="preserve">Proposal 1: it is proposed to discuss whether to test FBS quiting when FBS conditions are met, e.g. whether to test that UE fallback to </w:t>
      </w:r>
      <w:r>
        <w:rPr>
          <w:rFonts w:hint="default" w:ascii="Times New Roman" w:hAnsi="Times New Roman" w:eastAsia="宋体" w:cs="Times New Roman"/>
          <w:b/>
          <w:bCs/>
          <w:i/>
          <w:iCs/>
          <w:sz w:val="20"/>
          <w:szCs w:val="20"/>
        </w:rPr>
        <w:t>normal measurement when it has performed fast measurement for at least T1 from the time point when UE enters the FBS mode after meeting the FBS entry condition</w:t>
      </w:r>
      <w:r>
        <w:rPr>
          <w:rFonts w:hint="eastAsia" w:ascii="Times New Roman" w:hAnsi="Times New Roman" w:cs="Times New Roman"/>
          <w:b/>
          <w:bCs/>
          <w:i/>
          <w:iCs/>
          <w:sz w:val="20"/>
          <w:szCs w:val="20"/>
          <w:lang w:val="en-US" w:eastAsia="zh-CN"/>
        </w:rPr>
        <w:t>.</w:t>
      </w:r>
    </w:p>
    <w:p w14:paraId="2AAB025B">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highlight w:val="none"/>
        </w:rPr>
      </w:pPr>
      <w:r>
        <w:rPr>
          <w:rFonts w:hint="eastAsia" w:ascii="Times New Roman" w:hAnsi="Times New Roman"/>
          <w:b/>
          <w:bCs/>
          <w:i/>
          <w:iCs/>
          <w:sz w:val="20"/>
          <w:szCs w:val="20"/>
          <w:lang w:val="en-US" w:eastAsia="zh-CN"/>
        </w:rPr>
        <w:t xml:space="preserve">Proposal 2: if it is agreed to expand solution 1 to FR1, it is proposed to introduce test case for FR1 solution 1.  </w:t>
      </w:r>
      <w:bookmarkStart w:id="8" w:name="_GoBack"/>
      <w:bookmarkEnd w:id="8"/>
    </w:p>
    <w:p w14:paraId="7AA0D5E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17A2367">
      <w:pPr>
        <w:pStyle w:val="11"/>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76895181">
      <w:pPr>
        <w:pStyle w:val="11"/>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R4-2508264</w:t>
      </w:r>
      <w:r>
        <w:rPr>
          <w:rFonts w:hint="eastAsia" w:ascii="Times" w:hAnsi="Times" w:eastAsia="宋体"/>
          <w:b w:val="0"/>
          <w:sz w:val="20"/>
          <w:lang w:val="en-US" w:eastAsia="zh-CN"/>
        </w:rPr>
        <w:t>, WF on RRM requirements for NR_RRM_Ph5_Part1, Apple</w:t>
      </w:r>
    </w:p>
    <w:p w14:paraId="216760E6">
      <w:pPr>
        <w:pStyle w:val="11"/>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R4-2504899</w:t>
      </w:r>
      <w:r>
        <w:rPr>
          <w:rFonts w:hint="eastAsia" w:ascii="Times" w:hAnsi="Times" w:eastAsia="宋体"/>
          <w:b w:val="0"/>
          <w:sz w:val="20"/>
          <w:lang w:val="en-US" w:eastAsia="zh-CN"/>
        </w:rPr>
        <w:t>, WF on RRM requirements for NR_RRM_Ph5_Part1, Apple</w:t>
      </w:r>
    </w:p>
    <w:p w14:paraId="341B5EBE">
      <w:pPr>
        <w:pStyle w:val="11"/>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R4-2502592</w:t>
      </w:r>
      <w:r>
        <w:rPr>
          <w:rFonts w:hint="eastAsia" w:ascii="Times" w:hAnsi="Times" w:eastAsia="宋体"/>
          <w:b w:val="0"/>
          <w:sz w:val="20"/>
          <w:lang w:val="en-US" w:eastAsia="zh-CN"/>
        </w:rPr>
        <w:t>, WF on RRM requirements for NR_RRM_Ph5_Part1, Apple</w:t>
      </w:r>
    </w:p>
    <w:p w14:paraId="7B0F4863">
      <w:pPr>
        <w:pStyle w:val="11"/>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R4-2420093</w:t>
      </w:r>
      <w:r>
        <w:rPr>
          <w:rFonts w:hint="eastAsia" w:ascii="Times" w:hAnsi="Times" w:eastAsia="宋体"/>
          <w:b w:val="0"/>
          <w:sz w:val="20"/>
          <w:lang w:val="en-US" w:eastAsia="zh-CN"/>
        </w:rPr>
        <w:t>, WF on RRM requirements for NR_RRM_Ph5_Part1, Apple</w:t>
      </w:r>
    </w:p>
    <w:p w14:paraId="23F0DB77">
      <w:pPr>
        <w:pStyle w:val="11"/>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R4-2416853</w:t>
      </w:r>
      <w:r>
        <w:rPr>
          <w:rFonts w:hint="eastAsia" w:ascii="Times" w:hAnsi="Times" w:eastAsia="宋体"/>
          <w:b w:val="0"/>
          <w:sz w:val="20"/>
          <w:lang w:val="en-US" w:eastAsia="zh-CN"/>
        </w:rPr>
        <w:t>, WF for NR_RRM_Ph5_Part1, Apple</w:t>
      </w:r>
    </w:p>
    <w:p w14:paraId="7551112E">
      <w:pPr>
        <w:pStyle w:val="11"/>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R4-2414026, WF for NR_RRM_Ph5_Part1, Apple</w:t>
      </w:r>
    </w:p>
    <w:p w14:paraId="342A328E">
      <w:pPr>
        <w:pStyle w:val="11"/>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R4-2410260, Way Forward for [111][228] NR_RRM_Ph5</w:t>
      </w:r>
    </w:p>
    <w:p w14:paraId="22376D36">
      <w:pPr>
        <w:pStyle w:val="11"/>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RP-242380</w:t>
      </w:r>
      <w:r>
        <w:rPr>
          <w:rFonts w:hint="eastAsia" w:ascii="Times" w:hAnsi="Times" w:eastAsia="宋体"/>
          <w:b w:val="0"/>
          <w:sz w:val="20"/>
          <w:lang w:val="en-US" w:eastAsia="zh-CN"/>
        </w:rPr>
        <w:t>, Revised WID: NR Radio Resource Management (RRM) Phase 5</w:t>
      </w:r>
    </w:p>
    <w:p w14:paraId="7080E38C">
      <w:pPr>
        <w:pStyle w:val="11"/>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R4-2406392, WF for [110bis][230] NR_RRM_Ph5, Apple</w:t>
      </w:r>
    </w:p>
    <w:p w14:paraId="214A71F6">
      <w:pPr>
        <w:pStyle w:val="11"/>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RP-240817</w:t>
      </w:r>
      <w:r>
        <w:rPr>
          <w:rFonts w:hint="eastAsia" w:ascii="Times" w:hAnsi="Times" w:eastAsia="宋体"/>
          <w:b w:val="0"/>
          <w:sz w:val="20"/>
          <w:lang w:val="en-US" w:eastAsia="zh-CN"/>
        </w:rPr>
        <w:t>, Moderator's summary for discussion on RRM enhancements</w:t>
      </w:r>
    </w:p>
    <w:p w14:paraId="425D6FFB">
      <w:pPr>
        <w:pStyle w:val="11"/>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5B61555D">
      <w:pPr>
        <w:pStyle w:val="11"/>
        <w:framePr w:wrap="auto" w:vAnchor="margin" w:hAnchor="text" w:yAlign="inline"/>
        <w:ind w:right="400"/>
        <w:jc w:val="both"/>
        <w:rPr>
          <w:rFonts w:ascii="Times" w:hAnsi="Times" w:eastAsia="宋体"/>
          <w:b w:val="0"/>
          <w:sz w:val="20"/>
          <w:lang w:eastAsia="zh-CN"/>
        </w:rPr>
      </w:pPr>
    </w:p>
    <w:p w14:paraId="0324880D">
      <w:pPr>
        <w:pStyle w:val="11"/>
        <w:framePr w:wrap="auto" w:vAnchor="margin" w:hAnchor="text" w:yAlign="inline"/>
        <w:ind w:right="400"/>
        <w:jc w:val="both"/>
        <w:rPr>
          <w:rFonts w:hint="eastAsia" w:ascii="Times" w:hAnsi="Times" w:eastAsia="宋体"/>
          <w:b w:val="0"/>
          <w:sz w:val="20"/>
          <w:lang w:val="en-US" w:eastAsia="zh-CN"/>
        </w:rPr>
      </w:pPr>
    </w:p>
    <w:p w14:paraId="536EF69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78C47"/>
    <w:multiLevelType w:val="multilevel"/>
    <w:tmpl w:val="A3478C47"/>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hanging="420"/>
      </w:pPr>
      <w:rPr>
        <w:rFonts w:hint="default"/>
      </w:rPr>
    </w:lvl>
    <w:lvl w:ilvl="2" w:tentative="0">
      <w:start w:val="1"/>
      <w:numFmt w:val="bullet"/>
      <w:lvlText w:val=""/>
      <w:lvlJc w:val="left"/>
      <w:pPr>
        <w:tabs>
          <w:tab w:val="left" w:pos="1260"/>
        </w:tabs>
        <w:ind w:left="2100" w:hanging="420"/>
      </w:pPr>
      <w:rPr>
        <w:rFonts w:hint="default"/>
      </w:rPr>
    </w:lvl>
    <w:lvl w:ilvl="3" w:tentative="0">
      <w:start w:val="1"/>
      <w:numFmt w:val="bullet"/>
      <w:lvlText w:val=""/>
      <w:lvlJc w:val="left"/>
      <w:pPr>
        <w:tabs>
          <w:tab w:val="left" w:pos="1680"/>
        </w:tabs>
        <w:ind w:left="2520" w:hanging="420"/>
      </w:pPr>
      <w:rPr>
        <w:rFonts w:hint="default"/>
      </w:rPr>
    </w:lvl>
    <w:lvl w:ilvl="4" w:tentative="0">
      <w:start w:val="1"/>
      <w:numFmt w:val="bullet"/>
      <w:lvlText w:val=""/>
      <w:lvlJc w:val="left"/>
      <w:pPr>
        <w:tabs>
          <w:tab w:val="left" w:pos="2100"/>
        </w:tabs>
        <w:ind w:left="2940" w:hanging="420"/>
      </w:pPr>
      <w:rPr>
        <w:rFonts w:hint="default"/>
      </w:rPr>
    </w:lvl>
    <w:lvl w:ilvl="5" w:tentative="0">
      <w:start w:val="1"/>
      <w:numFmt w:val="bullet"/>
      <w:lvlText w:val=""/>
      <w:lvlJc w:val="left"/>
      <w:pPr>
        <w:tabs>
          <w:tab w:val="left" w:pos="2520"/>
        </w:tabs>
        <w:ind w:left="3360" w:hanging="420"/>
      </w:pPr>
      <w:rPr>
        <w:rFonts w:hint="default"/>
      </w:rPr>
    </w:lvl>
    <w:lvl w:ilvl="6" w:tentative="0">
      <w:start w:val="1"/>
      <w:numFmt w:val="bullet"/>
      <w:lvlText w:val=""/>
      <w:lvlJc w:val="left"/>
      <w:pPr>
        <w:tabs>
          <w:tab w:val="left" w:pos="2940"/>
        </w:tabs>
        <w:ind w:left="3780" w:hanging="420"/>
      </w:pPr>
      <w:rPr>
        <w:rFonts w:hint="default"/>
      </w:rPr>
    </w:lvl>
    <w:lvl w:ilvl="7" w:tentative="0">
      <w:start w:val="1"/>
      <w:numFmt w:val="bullet"/>
      <w:lvlText w:val=""/>
      <w:lvlJc w:val="left"/>
      <w:pPr>
        <w:tabs>
          <w:tab w:val="left" w:pos="3360"/>
        </w:tabs>
        <w:ind w:left="4200" w:hanging="420"/>
      </w:pPr>
      <w:rPr>
        <w:rFonts w:hint="default"/>
      </w:rPr>
    </w:lvl>
    <w:lvl w:ilvl="8" w:tentative="0">
      <w:start w:val="1"/>
      <w:numFmt w:val="bullet"/>
      <w:lvlText w:val=""/>
      <w:lvlJc w:val="left"/>
      <w:pPr>
        <w:tabs>
          <w:tab w:val="left" w:pos="3780"/>
        </w:tabs>
        <w:ind w:left="4620" w:hanging="420"/>
      </w:pPr>
      <w:rPr>
        <w:rFonts w:hint="default"/>
      </w:rPr>
    </w:lvl>
  </w:abstractNum>
  <w:abstractNum w:abstractNumId="1">
    <w:nsid w:val="A8E93B25"/>
    <w:multiLevelType w:val="singleLevel"/>
    <w:tmpl w:val="A8E93B25"/>
    <w:lvl w:ilvl="0" w:tentative="0">
      <w:start w:val="1"/>
      <w:numFmt w:val="bullet"/>
      <w:lvlText w:val=""/>
      <w:lvlJc w:val="left"/>
      <w:pPr>
        <w:ind w:left="420" w:hanging="420"/>
      </w:pPr>
      <w:rPr>
        <w:rFonts w:hint="default" w:ascii="Wingdings" w:hAnsi="Wingdings"/>
      </w:rPr>
    </w:lvl>
  </w:abstractNum>
  <w:abstractNum w:abstractNumId="2">
    <w:nsid w:val="DFEA373E"/>
    <w:multiLevelType w:val="multilevel"/>
    <w:tmpl w:val="DFEA37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6">
    <w:nsid w:val="2D1D7BD8"/>
    <w:multiLevelType w:val="multilevel"/>
    <w:tmpl w:val="2D1D7BD8"/>
    <w:lvl w:ilvl="0" w:tentative="0">
      <w:start w:val="1"/>
      <w:numFmt w:val="bullet"/>
      <w:lvlText w:val="•"/>
      <w:lvlJc w:val="left"/>
      <w:pPr>
        <w:ind w:left="720" w:hanging="360"/>
      </w:pPr>
      <w:rPr>
        <w:rFonts w:ascii="Helvetica" w:hAnsi="Helvetica" w:eastAsia="Helvetica" w:cs="Helvetica"/>
        <w:b w:val="0"/>
        <w:bCs w:val="0"/>
        <w:i w:val="0"/>
        <w:iCs w:val="0"/>
        <w:caps w:val="0"/>
        <w:smallCaps w:val="0"/>
        <w:strike w:val="0"/>
        <w:dstrike w:val="0"/>
        <w:color w:val="4A4A4A"/>
        <w:spacing w:val="0"/>
        <w:w w:val="100"/>
        <w:kern w:val="0"/>
        <w:position w:val="0"/>
        <w:highlight w:val="none"/>
        <w:vertAlign w:val="baseline"/>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0D21E41"/>
    <w:multiLevelType w:val="multilevel"/>
    <w:tmpl w:val="40D21E4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rPr>
    </w:lvl>
    <w:lvl w:ilvl="2" w:tentative="0">
      <w:start w:val="1"/>
      <w:numFmt w:val="bullet"/>
      <w:lvlText w:val=""/>
      <w:lvlJc w:val="left"/>
      <w:pPr>
        <w:tabs>
          <w:tab w:val="left" w:pos="1260"/>
        </w:tabs>
        <w:ind w:left="1680" w:hanging="420"/>
      </w:pPr>
      <w:rPr>
        <w:rFonts w:hint="default"/>
      </w:rPr>
    </w:lvl>
    <w:lvl w:ilvl="3" w:tentative="0">
      <w:start w:val="1"/>
      <w:numFmt w:val="bullet"/>
      <w:lvlText w:val=""/>
      <w:lvlJc w:val="left"/>
      <w:pPr>
        <w:tabs>
          <w:tab w:val="left" w:pos="1680"/>
        </w:tabs>
        <w:ind w:left="2100" w:hanging="420"/>
      </w:pPr>
      <w:rPr>
        <w:rFonts w:hint="default"/>
      </w:rPr>
    </w:lvl>
    <w:lvl w:ilvl="4" w:tentative="0">
      <w:start w:val="1"/>
      <w:numFmt w:val="bullet"/>
      <w:lvlText w:val=""/>
      <w:lvlJc w:val="left"/>
      <w:pPr>
        <w:tabs>
          <w:tab w:val="left" w:pos="2100"/>
        </w:tabs>
        <w:ind w:left="2520" w:hanging="420"/>
      </w:pPr>
      <w:rPr>
        <w:rFonts w:hint="default"/>
      </w:rPr>
    </w:lvl>
    <w:lvl w:ilvl="5" w:tentative="0">
      <w:start w:val="1"/>
      <w:numFmt w:val="bullet"/>
      <w:lvlText w:val=""/>
      <w:lvlJc w:val="left"/>
      <w:pPr>
        <w:tabs>
          <w:tab w:val="left" w:pos="2520"/>
        </w:tabs>
        <w:ind w:left="2940" w:hanging="420"/>
      </w:pPr>
      <w:rPr>
        <w:rFonts w:hint="default"/>
      </w:rPr>
    </w:lvl>
    <w:lvl w:ilvl="6" w:tentative="0">
      <w:start w:val="1"/>
      <w:numFmt w:val="bullet"/>
      <w:lvlText w:val=""/>
      <w:lvlJc w:val="left"/>
      <w:pPr>
        <w:tabs>
          <w:tab w:val="left" w:pos="2940"/>
        </w:tabs>
        <w:ind w:left="3360" w:hanging="420"/>
      </w:pPr>
      <w:rPr>
        <w:rFonts w:hint="default"/>
      </w:rPr>
    </w:lvl>
    <w:lvl w:ilvl="7" w:tentative="0">
      <w:start w:val="1"/>
      <w:numFmt w:val="bullet"/>
      <w:lvlText w:val=""/>
      <w:lvlJc w:val="left"/>
      <w:pPr>
        <w:tabs>
          <w:tab w:val="left" w:pos="3360"/>
        </w:tabs>
        <w:ind w:left="3780" w:hanging="420"/>
      </w:pPr>
      <w:rPr>
        <w:rFonts w:hint="default"/>
      </w:rPr>
    </w:lvl>
    <w:lvl w:ilvl="8" w:tentative="0">
      <w:start w:val="1"/>
      <w:numFmt w:val="bullet"/>
      <w:lvlText w:val=""/>
      <w:lvlJc w:val="left"/>
      <w:pPr>
        <w:tabs>
          <w:tab w:val="left" w:pos="3780"/>
        </w:tabs>
        <w:ind w:left="4200" w:hanging="420"/>
      </w:pPr>
      <w:rPr>
        <w:rFonts w:hint="default"/>
      </w:rPr>
    </w:lvl>
  </w:abstractNum>
  <w:abstractNum w:abstractNumId="8">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9">
    <w:nsid w:val="6ACC5891"/>
    <w:multiLevelType w:val="multilevel"/>
    <w:tmpl w:val="6ACC58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4"/>
  </w:num>
  <w:num w:numId="3">
    <w:abstractNumId w:val="5"/>
  </w:num>
  <w:num w:numId="4">
    <w:abstractNumId w:val="7"/>
  </w:num>
  <w:num w:numId="5">
    <w:abstractNumId w:val="0"/>
  </w:num>
  <w:num w:numId="6">
    <w:abstractNumId w:val="2"/>
  </w:num>
  <w:num w:numId="7">
    <w:abstractNumId w:val="1"/>
  </w:num>
  <w:num w:numId="8">
    <w:abstractNumId w:val="6"/>
  </w:num>
  <w:num w:numId="9">
    <w:abstractNumId w:val="8"/>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C0ED1"/>
    <w:rsid w:val="0385106D"/>
    <w:rsid w:val="03867954"/>
    <w:rsid w:val="039B37C7"/>
    <w:rsid w:val="066675EE"/>
    <w:rsid w:val="06907413"/>
    <w:rsid w:val="08ED236E"/>
    <w:rsid w:val="095F3199"/>
    <w:rsid w:val="097E7F9F"/>
    <w:rsid w:val="0A424F95"/>
    <w:rsid w:val="0C18633A"/>
    <w:rsid w:val="0D23491D"/>
    <w:rsid w:val="0F4D6C2D"/>
    <w:rsid w:val="0F565B36"/>
    <w:rsid w:val="102962AF"/>
    <w:rsid w:val="12D547F3"/>
    <w:rsid w:val="14231F17"/>
    <w:rsid w:val="154B4C98"/>
    <w:rsid w:val="17AD6F65"/>
    <w:rsid w:val="1A9346AF"/>
    <w:rsid w:val="1AFD104A"/>
    <w:rsid w:val="1CA473E9"/>
    <w:rsid w:val="1DA11B98"/>
    <w:rsid w:val="1DBA5669"/>
    <w:rsid w:val="1DE91903"/>
    <w:rsid w:val="1E262080"/>
    <w:rsid w:val="1EA13FCF"/>
    <w:rsid w:val="1F281DCF"/>
    <w:rsid w:val="20136430"/>
    <w:rsid w:val="206F7D0E"/>
    <w:rsid w:val="210324B5"/>
    <w:rsid w:val="22F84732"/>
    <w:rsid w:val="238A445D"/>
    <w:rsid w:val="25E20F82"/>
    <w:rsid w:val="26960BDD"/>
    <w:rsid w:val="27C80F70"/>
    <w:rsid w:val="283B7580"/>
    <w:rsid w:val="295A479C"/>
    <w:rsid w:val="2BB92149"/>
    <w:rsid w:val="2D0F04FC"/>
    <w:rsid w:val="2E7C01C6"/>
    <w:rsid w:val="342A6B27"/>
    <w:rsid w:val="360D33BD"/>
    <w:rsid w:val="36292328"/>
    <w:rsid w:val="39A706A6"/>
    <w:rsid w:val="3B511B0B"/>
    <w:rsid w:val="42AC3D86"/>
    <w:rsid w:val="44525938"/>
    <w:rsid w:val="44B04585"/>
    <w:rsid w:val="48823F01"/>
    <w:rsid w:val="49AF110F"/>
    <w:rsid w:val="4BBF2155"/>
    <w:rsid w:val="4D9D16E6"/>
    <w:rsid w:val="51B80221"/>
    <w:rsid w:val="534263BF"/>
    <w:rsid w:val="53E3402E"/>
    <w:rsid w:val="56185140"/>
    <w:rsid w:val="58875047"/>
    <w:rsid w:val="59B212B6"/>
    <w:rsid w:val="5C2B1D85"/>
    <w:rsid w:val="5C4A521A"/>
    <w:rsid w:val="5D1E23CA"/>
    <w:rsid w:val="5EFF572F"/>
    <w:rsid w:val="63E4531B"/>
    <w:rsid w:val="645A4B51"/>
    <w:rsid w:val="663E7534"/>
    <w:rsid w:val="66D222BD"/>
    <w:rsid w:val="6782683B"/>
    <w:rsid w:val="67A4673A"/>
    <w:rsid w:val="68112FCA"/>
    <w:rsid w:val="6A306848"/>
    <w:rsid w:val="6BBF44D0"/>
    <w:rsid w:val="6C1808E6"/>
    <w:rsid w:val="6C890C1C"/>
    <w:rsid w:val="6D673814"/>
    <w:rsid w:val="6DF25BEE"/>
    <w:rsid w:val="726D3849"/>
    <w:rsid w:val="73C17630"/>
    <w:rsid w:val="746C11B7"/>
    <w:rsid w:val="7A4D2F1A"/>
    <w:rsid w:val="7A656E5D"/>
    <w:rsid w:val="7C4E477F"/>
    <w:rsid w:val="7EDD1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99"/>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
    <w:name w:val="TH"/>
    <w:basedOn w:val="1"/>
    <w:qFormat/>
    <w:uiPriority w:val="0"/>
    <w:pPr>
      <w:keepNext/>
      <w:keepLines/>
      <w:spacing w:before="60"/>
      <w:jc w:val="center"/>
    </w:pPr>
    <w:rPr>
      <w:rFonts w:ascii="Arial" w:hAnsi="Arial"/>
      <w:b/>
    </w:rPr>
  </w:style>
  <w:style w:type="paragraph" w:customStyle="1" w:styleId="13">
    <w:name w:val="TAH"/>
    <w:basedOn w:val="14"/>
    <w:qFormat/>
    <w:uiPriority w:val="0"/>
    <w:rPr>
      <w:b/>
    </w:rPr>
  </w:style>
  <w:style w:type="paragraph" w:customStyle="1" w:styleId="14">
    <w:name w:val="TAC"/>
    <w:basedOn w:val="15"/>
    <w:qFormat/>
    <w:uiPriority w:val="0"/>
    <w:pPr>
      <w:jc w:val="center"/>
    </w:pPr>
  </w:style>
  <w:style w:type="paragraph" w:customStyle="1" w:styleId="15">
    <w:name w:val="TAL"/>
    <w:basedOn w:val="1"/>
    <w:qFormat/>
    <w:uiPriority w:val="0"/>
    <w:pPr>
      <w:keepNext/>
      <w:keepLines/>
      <w:spacing w:after="0"/>
    </w:pPr>
    <w:rPr>
      <w:rFonts w:ascii="Arial" w:hAnsi="Arial"/>
      <w:sz w:val="18"/>
    </w:rPr>
  </w:style>
  <w:style w:type="paragraph" w:customStyle="1" w:styleId="16">
    <w:name w:val="TAN"/>
    <w:basedOn w:val="15"/>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CMCC-RAN4#116</cp:lastModifiedBy>
  <dcterms:modified xsi:type="dcterms:W3CDTF">2025-08-15T08:06:29Z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99CA3F75D69E410D84A4BB8A3F58CF13</vt:lpwstr>
  </property>
</Properties>
</file>